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7F92" w14:textId="4AEA51DF" w:rsidR="0079734B" w:rsidRDefault="0079734B" w:rsidP="00066F7D">
      <w:pPr>
        <w:jc w:val="both"/>
        <w:rPr>
          <w:bCs/>
          <w:lang w:val="ro-RO"/>
        </w:rPr>
      </w:pPr>
      <w:r>
        <w:rPr>
          <w:bCs/>
          <w:lang w:val="ro-RO"/>
        </w:rPr>
        <w:t>Pe durata anului 2024, proiectul nucleu 23300203 „INEVO” a parcurs cu succes doua faze, anume faza 2.2. dedicata completarii documentarii bazelor de date geologice, geof</w:t>
      </w:r>
      <w:r w:rsidR="00066F7D">
        <w:rPr>
          <w:bCs/>
          <w:lang w:val="ro-RO"/>
        </w:rPr>
        <w:t>i</w:t>
      </w:r>
      <w:r>
        <w:rPr>
          <w:bCs/>
          <w:lang w:val="ro-RO"/>
        </w:rPr>
        <w:t>zice si conexe precum si analizei de oportunitate pentru zo</w:t>
      </w:r>
      <w:r w:rsidR="00066F7D">
        <w:rPr>
          <w:bCs/>
          <w:lang w:val="ro-RO"/>
        </w:rPr>
        <w:t>n</w:t>
      </w:r>
      <w:r>
        <w:rPr>
          <w:bCs/>
          <w:lang w:val="ro-RO"/>
        </w:rPr>
        <w:t xml:space="preserve">ele identificate </w:t>
      </w:r>
      <w:r w:rsidR="00066F7D">
        <w:rPr>
          <w:bCs/>
          <w:lang w:val="ro-RO"/>
        </w:rPr>
        <w:t xml:space="preserve"> preliminar ca fiind de potential pentru obiectivul de proiect,  si faza 3.1., in care s-a stabilit  necesarul de date suplimentare pentru completarea gradului de cunoastere pe zonele deja confirmate anterior, totodata planificandu-se </w:t>
      </w:r>
      <w:r w:rsidR="0025494E">
        <w:rPr>
          <w:bCs/>
          <w:lang w:val="ro-RO"/>
        </w:rPr>
        <w:t xml:space="preserve">si </w:t>
      </w:r>
      <w:r w:rsidR="00066F7D">
        <w:rPr>
          <w:bCs/>
          <w:lang w:val="ro-RO"/>
        </w:rPr>
        <w:t xml:space="preserve">achizitia datelor respective  </w:t>
      </w:r>
      <w:r w:rsidR="0025494E">
        <w:rPr>
          <w:bCs/>
          <w:lang w:val="ro-RO"/>
        </w:rPr>
        <w:t>in</w:t>
      </w:r>
      <w:r w:rsidR="00066F7D">
        <w:rPr>
          <w:bCs/>
          <w:lang w:val="ro-RO"/>
        </w:rPr>
        <w:t xml:space="preserve"> </w:t>
      </w:r>
      <w:r w:rsidR="0025494E">
        <w:rPr>
          <w:bCs/>
          <w:lang w:val="ro-RO"/>
        </w:rPr>
        <w:t xml:space="preserve">viitoare </w:t>
      </w:r>
      <w:r w:rsidR="00066F7D">
        <w:rPr>
          <w:bCs/>
          <w:lang w:val="ro-RO"/>
        </w:rPr>
        <w:t>campanii</w:t>
      </w:r>
      <w:r w:rsidR="0025494E">
        <w:rPr>
          <w:bCs/>
          <w:lang w:val="ro-RO"/>
        </w:rPr>
        <w:t xml:space="preserve"> </w:t>
      </w:r>
      <w:r w:rsidR="00066F7D">
        <w:rPr>
          <w:bCs/>
          <w:lang w:val="ro-RO"/>
        </w:rPr>
        <w:t>de teren.</w:t>
      </w:r>
    </w:p>
    <w:p w14:paraId="3EDAA43A" w14:textId="1A53C3B0" w:rsidR="00D54F95" w:rsidRDefault="00066F7D" w:rsidP="00066F7D">
      <w:pPr>
        <w:jc w:val="both"/>
        <w:rPr>
          <w:bCs/>
          <w:lang w:val="ro-RO"/>
        </w:rPr>
      </w:pPr>
      <w:r>
        <w:rPr>
          <w:bCs/>
          <w:lang w:val="ro-RO"/>
        </w:rPr>
        <w:t>Faza 2.2 a produs rezultatele estimate, concret bazele</w:t>
      </w:r>
      <w:r w:rsidR="0025494E">
        <w:rPr>
          <w:bCs/>
          <w:lang w:val="ro-RO"/>
        </w:rPr>
        <w:t xml:space="preserve"> </w:t>
      </w:r>
      <w:r>
        <w:rPr>
          <w:bCs/>
          <w:lang w:val="ro-RO"/>
        </w:rPr>
        <w:t xml:space="preserve">de date alcatuite in fazele anterioare au fost completate cu datele suplimentare obtinute, </w:t>
      </w:r>
      <w:r w:rsidR="00D54F95">
        <w:rPr>
          <w:bCs/>
          <w:lang w:val="ro-RO"/>
        </w:rPr>
        <w:t xml:space="preserve">astfel putandu-se rafina contururile </w:t>
      </w:r>
      <w:r>
        <w:rPr>
          <w:bCs/>
          <w:lang w:val="ro-RO"/>
        </w:rPr>
        <w:t>ce</w:t>
      </w:r>
      <w:r w:rsidR="00D54F95">
        <w:rPr>
          <w:bCs/>
          <w:lang w:val="ro-RO"/>
        </w:rPr>
        <w:t>lor</w:t>
      </w:r>
      <w:r>
        <w:rPr>
          <w:bCs/>
          <w:lang w:val="ro-RO"/>
        </w:rPr>
        <w:t xml:space="preserve"> trei zone de interes </w:t>
      </w:r>
      <w:r w:rsidR="00D54F95">
        <w:rPr>
          <w:bCs/>
          <w:lang w:val="ro-RO"/>
        </w:rPr>
        <w:t xml:space="preserve">identificate </w:t>
      </w:r>
      <w:r>
        <w:rPr>
          <w:bCs/>
          <w:lang w:val="ro-RO"/>
        </w:rPr>
        <w:t>(i.e. „A”</w:t>
      </w:r>
      <w:r w:rsidR="00D54F95">
        <w:rPr>
          <w:bCs/>
          <w:lang w:val="ro-RO"/>
        </w:rPr>
        <w:t>, „B”</w:t>
      </w:r>
      <w:r>
        <w:rPr>
          <w:bCs/>
          <w:lang w:val="ro-RO"/>
        </w:rPr>
        <w:t xml:space="preserve"> si „</w:t>
      </w:r>
      <w:r w:rsidR="00D54F95">
        <w:rPr>
          <w:bCs/>
          <w:lang w:val="ro-RO"/>
        </w:rPr>
        <w:t>C)</w:t>
      </w:r>
      <w:r>
        <w:rPr>
          <w:bCs/>
          <w:lang w:val="ro-RO"/>
        </w:rPr>
        <w:t xml:space="preserve"> cu nivel de incredere sporit. </w:t>
      </w:r>
      <w:r w:rsidR="00D54F95">
        <w:rPr>
          <w:bCs/>
          <w:lang w:val="ro-RO"/>
        </w:rPr>
        <w:t>Planul de situatie din figura 1, mai jos, ilustreaza rezultatul obtinut conform obiectivului de proiect.</w:t>
      </w:r>
    </w:p>
    <w:p w14:paraId="5418CA4A" w14:textId="0805AAE6" w:rsidR="00D54F95" w:rsidRDefault="00D54F95" w:rsidP="00D54F95">
      <w:pPr>
        <w:spacing w:after="0" w:line="360" w:lineRule="auto"/>
        <w:jc w:val="both"/>
        <w:rPr>
          <w:bCs/>
          <w:lang w:val="ro-RO"/>
        </w:rPr>
      </w:pPr>
      <w:r>
        <w:rPr>
          <w:noProof/>
        </w:rPr>
        <w:drawing>
          <wp:inline distT="0" distB="0" distL="0" distR="0" wp14:anchorId="5C79F6C5" wp14:editId="4DFCCCC4">
            <wp:extent cx="5400675" cy="3243580"/>
            <wp:effectExtent l="0" t="0" r="9525" b="0"/>
            <wp:docPr id="183152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2564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5E88" w14:textId="122F9328" w:rsidR="00D54F95" w:rsidRPr="00D54F95" w:rsidRDefault="00D54F95" w:rsidP="00D54F95">
      <w:pPr>
        <w:ind w:firstLine="360"/>
        <w:jc w:val="both"/>
        <w:outlineLvl w:val="1"/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</w:pP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 xml:space="preserve">Figura 1 – 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 xml:space="preserve">Conturarea finala a </w:t>
      </w: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 xml:space="preserve">zonelor favorabile 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“</w:t>
      </w: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A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”</w:t>
      </w: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 xml:space="preserve">, 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“”</w:t>
      </w: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 xml:space="preserve">B si 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“</w:t>
      </w:r>
      <w:r w:rsidRPr="00D54F95"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C</w:t>
      </w:r>
      <w:r>
        <w:rPr>
          <w:rFonts w:ascii="Calibri" w:eastAsia="Times New Roman" w:hAnsi="Calibri" w:cs="Cordia New"/>
          <w:bCs/>
          <w:i/>
          <w:iCs/>
          <w:noProof/>
          <w:kern w:val="0"/>
          <w:lang w:val="pt-BR"/>
          <w14:ligatures w14:val="none"/>
        </w:rPr>
        <w:t>”</w:t>
      </w:r>
    </w:p>
    <w:p w14:paraId="5C2B83FC" w14:textId="64DB1F48" w:rsidR="00066F7D" w:rsidRDefault="00066F7D" w:rsidP="00066F7D">
      <w:pPr>
        <w:jc w:val="both"/>
        <w:rPr>
          <w:bCs/>
          <w:lang w:val="ro-RO"/>
        </w:rPr>
      </w:pPr>
      <w:r>
        <w:rPr>
          <w:bCs/>
          <w:lang w:val="ro-RO"/>
        </w:rPr>
        <w:t>Acest rezultat a inclus analiza combinata a urmatoarelor:</w:t>
      </w:r>
    </w:p>
    <w:p w14:paraId="63D5B0CC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Studiul anomaliilor de geo-campuri (gravimetric si magnetic)</w:t>
      </w:r>
    </w:p>
    <w:p w14:paraId="17EC604C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Studiul datelor de investigatie seismo-acustica</w:t>
      </w:r>
    </w:p>
    <w:p w14:paraId="62370372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Studiul datelor de investigatie electro-magnetica</w:t>
      </w:r>
    </w:p>
    <w:p w14:paraId="738C2353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 xml:space="preserve">Caracterizarea structiural-tectonica </w:t>
      </w:r>
    </w:p>
    <w:p w14:paraId="62340B1B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 xml:space="preserve">Caracterizarea sedimentologica </w:t>
      </w:r>
    </w:p>
    <w:p w14:paraId="019AF0A4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Studiul geotehnic general si de detaliu (unde datele disponibile au permis)</w:t>
      </w:r>
    </w:p>
    <w:p w14:paraId="300E7149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Studiul datelor met-oceanice (energie eoliana si hidrodinamica marina)</w:t>
      </w:r>
    </w:p>
    <w:p w14:paraId="351CCFB8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Analiza de riscuri geo-tectonice, antropice si a zonelor de excludere</w:t>
      </w:r>
    </w:p>
    <w:p w14:paraId="2D598ECA" w14:textId="77777777" w:rsidR="00066F7D" w:rsidRPr="00066F7D" w:rsidRDefault="00066F7D" w:rsidP="00066F7D">
      <w:pPr>
        <w:pStyle w:val="ListParagraph"/>
        <w:numPr>
          <w:ilvl w:val="0"/>
          <w:numId w:val="1"/>
        </w:numPr>
        <w:ind w:left="211" w:hanging="180"/>
        <w:contextualSpacing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066F7D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Cadrul general investitional (economic, infrastructura, impact social).</w:t>
      </w:r>
    </w:p>
    <w:p w14:paraId="3A6DA7DC" w14:textId="7A202664" w:rsidR="009B5688" w:rsidRDefault="00D54F95" w:rsidP="009B5688">
      <w:pPr>
        <w:jc w:val="both"/>
        <w:rPr>
          <w:bCs/>
          <w:lang w:val="ro-RO"/>
        </w:rPr>
      </w:pPr>
      <w:r>
        <w:rPr>
          <w:bCs/>
          <w:lang w:val="ro-RO"/>
        </w:rPr>
        <w:t>F</w:t>
      </w:r>
      <w:r w:rsidRPr="00D54F95">
        <w:rPr>
          <w:bCs/>
          <w:lang w:val="ro-RO"/>
        </w:rPr>
        <w:t xml:space="preserve">aza </w:t>
      </w:r>
      <w:r w:rsidR="0079734B" w:rsidRPr="00D54F95">
        <w:rPr>
          <w:bCs/>
          <w:lang w:val="ro-RO"/>
        </w:rPr>
        <w:t xml:space="preserve"> 3.1 </w:t>
      </w:r>
      <w:r w:rsidR="009B5688">
        <w:rPr>
          <w:bCs/>
          <w:lang w:val="ro-RO"/>
        </w:rPr>
        <w:t>a avut ca scop evaluarea necesarului de date suplimentare pentru acoperirea lacunelor de date din suprafetele celor 3 perimentre de maxim potential identificate („A”, „B: si „C”).  Lipsa datelor sau calitatea nesatisfacatoare a datelor existente au condus la necesitatea planificarii de campanii de achizitie in teren a datelor geofizice, analizandu-se in acest sens metodologiile optime.</w:t>
      </w:r>
    </w:p>
    <w:p w14:paraId="430679A9" w14:textId="3D79FCBD" w:rsidR="009B5688" w:rsidRDefault="009B5688" w:rsidP="009B5688">
      <w:pPr>
        <w:jc w:val="both"/>
        <w:rPr>
          <w:bCs/>
          <w:lang w:val="ro-RO"/>
        </w:rPr>
      </w:pPr>
      <w:r>
        <w:rPr>
          <w:bCs/>
          <w:lang w:val="ro-RO"/>
        </w:rPr>
        <w:lastRenderedPageBreak/>
        <w:t>Rezultate s-au concretizat in elaborarea de metode combinate de achizitie geofizica, a unor planuri de situatie cu trasee si aliniamente de inregistrare corespunzatoare acestora, precum si alcatuirea unor seturi de coordonate de achizitie pentru fiecare campanie de teren planificata.</w:t>
      </w:r>
      <w:r w:rsidR="003B3B15">
        <w:rPr>
          <w:bCs/>
          <w:lang w:val="ro-RO"/>
        </w:rPr>
        <w:t xml:space="preserve"> E</w:t>
      </w:r>
      <w:r>
        <w:rPr>
          <w:bCs/>
          <w:lang w:val="ro-RO"/>
        </w:rPr>
        <w:t>xemplificar</w:t>
      </w:r>
      <w:r w:rsidR="003B3B15">
        <w:rPr>
          <w:bCs/>
          <w:lang w:val="ro-RO"/>
        </w:rPr>
        <w:t>i</w:t>
      </w:r>
      <w:r>
        <w:rPr>
          <w:bCs/>
          <w:lang w:val="ro-RO"/>
        </w:rPr>
        <w:t xml:space="preserve"> sugestiv</w:t>
      </w:r>
      <w:r w:rsidR="003B3B15">
        <w:rPr>
          <w:bCs/>
          <w:lang w:val="ro-RO"/>
        </w:rPr>
        <w:t>e</w:t>
      </w:r>
      <w:r>
        <w:rPr>
          <w:bCs/>
          <w:lang w:val="ro-RO"/>
        </w:rPr>
        <w:t xml:space="preserve"> se po</w:t>
      </w:r>
      <w:r w:rsidR="003B3B15">
        <w:rPr>
          <w:bCs/>
          <w:lang w:val="ro-RO"/>
        </w:rPr>
        <w:t>t</w:t>
      </w:r>
      <w:r>
        <w:rPr>
          <w:bCs/>
          <w:lang w:val="ro-RO"/>
        </w:rPr>
        <w:t xml:space="preserve"> vizualiza in figur</w:t>
      </w:r>
      <w:r w:rsidR="003B3B15">
        <w:rPr>
          <w:bCs/>
          <w:lang w:val="ro-RO"/>
        </w:rPr>
        <w:t>ile</w:t>
      </w:r>
      <w:r>
        <w:rPr>
          <w:bCs/>
          <w:lang w:val="ro-RO"/>
        </w:rPr>
        <w:t xml:space="preserve"> 2 </w:t>
      </w:r>
      <w:r w:rsidR="003B3B15">
        <w:rPr>
          <w:bCs/>
          <w:lang w:val="ro-RO"/>
        </w:rPr>
        <w:t xml:space="preserve">si 3  </w:t>
      </w:r>
      <w:r>
        <w:rPr>
          <w:bCs/>
          <w:lang w:val="ro-RO"/>
        </w:rPr>
        <w:t>de mai jos.</w:t>
      </w:r>
    </w:p>
    <w:p w14:paraId="5BBD3D51" w14:textId="45BC8C16" w:rsidR="009B5688" w:rsidRDefault="009B5688" w:rsidP="009B5688">
      <w:pPr>
        <w:spacing w:after="0" w:line="240" w:lineRule="auto"/>
        <w:jc w:val="both"/>
        <w:rPr>
          <w:bCs/>
          <w:lang w:val="ro-RO"/>
        </w:rPr>
      </w:pPr>
      <w:r>
        <w:rPr>
          <w:noProof/>
        </w:rPr>
        <w:drawing>
          <wp:inline distT="0" distB="0" distL="0" distR="0" wp14:anchorId="6D5707F9" wp14:editId="5383F7A1">
            <wp:extent cx="5724525" cy="3486150"/>
            <wp:effectExtent l="0" t="0" r="0" b="0"/>
            <wp:docPr id="1244211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1124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57" cy="349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CC01" w14:textId="4E47BE39" w:rsidR="009B5688" w:rsidRDefault="009B5688" w:rsidP="009B5688">
      <w:pPr>
        <w:spacing w:after="0" w:line="240" w:lineRule="auto"/>
        <w:jc w:val="both"/>
        <w:rPr>
          <w:bCs/>
          <w:i/>
          <w:iCs/>
          <w:lang w:val="pt-BR"/>
        </w:rPr>
      </w:pPr>
      <w:r w:rsidRPr="009B5688">
        <w:rPr>
          <w:bCs/>
          <w:i/>
          <w:iCs/>
          <w:lang w:val="pt-BR"/>
        </w:rPr>
        <w:t>Fig</w:t>
      </w:r>
      <w:r>
        <w:rPr>
          <w:bCs/>
          <w:i/>
          <w:iCs/>
          <w:lang w:val="pt-BR"/>
        </w:rPr>
        <w:t>ura 2.</w:t>
      </w:r>
      <w:r w:rsidRPr="009B5688">
        <w:rPr>
          <w:bCs/>
          <w:i/>
          <w:iCs/>
          <w:lang w:val="pt-BR"/>
        </w:rPr>
        <w:t xml:space="preserve"> Profile planificate si metodologie de achizitie MBES (MultiBeam Echosounder) si SSS (SideScan Sonar)</w:t>
      </w:r>
    </w:p>
    <w:p w14:paraId="6C3F25E1" w14:textId="2D870D6D" w:rsidR="003B3B15" w:rsidRDefault="003B3B15" w:rsidP="009B5688">
      <w:pPr>
        <w:spacing w:after="0" w:line="240" w:lineRule="auto"/>
        <w:jc w:val="both"/>
        <w:rPr>
          <w:bCs/>
          <w:lang w:val="pt-BR"/>
        </w:rPr>
      </w:pPr>
      <w:r>
        <w:rPr>
          <w:noProof/>
        </w:rPr>
        <w:drawing>
          <wp:inline distT="0" distB="0" distL="0" distR="0" wp14:anchorId="311AE943" wp14:editId="707380EF">
            <wp:extent cx="5724525" cy="3543300"/>
            <wp:effectExtent l="0" t="0" r="9525" b="0"/>
            <wp:docPr id="14566951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95122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D026" w14:textId="77777777" w:rsidR="003B3B15" w:rsidRPr="003B3B15" w:rsidRDefault="003B3B15" w:rsidP="003B3B15">
      <w:pPr>
        <w:spacing w:after="0" w:line="240" w:lineRule="auto"/>
        <w:jc w:val="both"/>
        <w:rPr>
          <w:bCs/>
          <w:i/>
          <w:iCs/>
          <w:lang w:val="pt-BR"/>
        </w:rPr>
      </w:pPr>
      <w:r w:rsidRPr="003B3B15">
        <w:rPr>
          <w:bCs/>
          <w:i/>
          <w:iCs/>
          <w:lang w:val="pt-BR"/>
        </w:rPr>
        <w:t>Fig. 22. Puncte de statie planificate pentru executarea de profile verticale CTD si prelevari de probe cu carotierul gravitational si bodengreifer</w:t>
      </w:r>
    </w:p>
    <w:p w14:paraId="0B674596" w14:textId="1C7055B1" w:rsidR="00695600" w:rsidRDefault="003B3B15" w:rsidP="009B5688">
      <w:pPr>
        <w:spacing w:after="0" w:line="240" w:lineRule="auto"/>
        <w:jc w:val="both"/>
        <w:rPr>
          <w:bCs/>
          <w:lang w:val="ro-RO"/>
        </w:rPr>
      </w:pPr>
      <w:r>
        <w:rPr>
          <w:bCs/>
          <w:lang w:val="ro-RO"/>
        </w:rPr>
        <w:lastRenderedPageBreak/>
        <w:t>Re</w:t>
      </w:r>
      <w:r w:rsidR="00695600">
        <w:rPr>
          <w:bCs/>
          <w:lang w:val="ro-RO"/>
        </w:rPr>
        <w:t>zultatele finale ale faze 3.1 au</w:t>
      </w:r>
      <w:r>
        <w:rPr>
          <w:bCs/>
          <w:lang w:val="ro-RO"/>
        </w:rPr>
        <w:t xml:space="preserve"> insumat</w:t>
      </w:r>
      <w:r w:rsidR="00695600">
        <w:rPr>
          <w:bCs/>
          <w:lang w:val="ro-RO"/>
        </w:rPr>
        <w:t xml:space="preserve"> planificarea a:</w:t>
      </w:r>
    </w:p>
    <w:p w14:paraId="5AF52F06" w14:textId="518596AA" w:rsidR="00695600" w:rsidRPr="00695600" w:rsidRDefault="00695600" w:rsidP="00695600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695600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12 puncte statie de prelevare probe directe de fund (boden-greifer si carotier gravitational</w:t>
      </w:r>
      <w:r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)</w:t>
      </w:r>
    </w:p>
    <w:p w14:paraId="067D6FCA" w14:textId="2A4B6539" w:rsidR="00695600" w:rsidRPr="00695600" w:rsidRDefault="00695600" w:rsidP="00695600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695600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12 statii de executare a profilelor verticale CTD (Conductivity-Temperature – Depth)</w:t>
      </w:r>
    </w:p>
    <w:p w14:paraId="6AE351C4" w14:textId="55DF077B" w:rsidR="00695600" w:rsidRPr="00695600" w:rsidRDefault="00695600" w:rsidP="00695600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695600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78 profile MBES &amp; SSS totalizand 1291.75 km efectivi de inregistrare</w:t>
      </w:r>
    </w:p>
    <w:p w14:paraId="2DF0C803" w14:textId="7D321A94" w:rsidR="00695600" w:rsidRPr="00695600" w:rsidRDefault="00695600" w:rsidP="00695600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695600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39 profile SBP &amp; MAG totalizand 660.01 km efectivi de inregistrare</w:t>
      </w:r>
    </w:p>
    <w:p w14:paraId="66927791" w14:textId="1C9426EB" w:rsidR="00695600" w:rsidRDefault="00695600" w:rsidP="00695600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  <w:r w:rsidRPr="00695600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3 profile Seismica 2D de mare rezolutie insumand 70.017 km inregistrare efectiva</w:t>
      </w:r>
      <w:r w:rsidR="003B3B15"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  <w:t>.</w:t>
      </w:r>
    </w:p>
    <w:p w14:paraId="43EA8068" w14:textId="77777777" w:rsidR="003B3B15" w:rsidRPr="00695600" w:rsidRDefault="003B3B15" w:rsidP="003B3B15">
      <w:pPr>
        <w:pStyle w:val="ListParagraph"/>
        <w:ind w:left="1020"/>
        <w:jc w:val="both"/>
        <w:rPr>
          <w:rFonts w:asciiTheme="minorHAnsi" w:eastAsiaTheme="minorHAnsi" w:hAnsiTheme="minorHAnsi" w:cstheme="minorBidi"/>
          <w:bCs/>
          <w:kern w:val="2"/>
          <w:sz w:val="22"/>
          <w:szCs w:val="22"/>
          <w:lang w:eastAsia="en-US"/>
        </w:rPr>
      </w:pPr>
    </w:p>
    <w:sectPr w:rsidR="003B3B15" w:rsidRPr="00695600" w:rsidSect="003B3B15">
      <w:pgSz w:w="12240" w:h="15840"/>
      <w:pgMar w:top="990" w:right="16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17E79"/>
    <w:multiLevelType w:val="hybridMultilevel"/>
    <w:tmpl w:val="AF6E8852"/>
    <w:lvl w:ilvl="0" w:tplc="880E1B46">
      <w:numFmt w:val="bullet"/>
      <w:lvlText w:val="-"/>
      <w:lvlJc w:val="left"/>
      <w:pPr>
        <w:ind w:left="10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04163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9"/>
    <w:rsid w:val="00066F7D"/>
    <w:rsid w:val="0025494E"/>
    <w:rsid w:val="003B3B15"/>
    <w:rsid w:val="00695600"/>
    <w:rsid w:val="0079734B"/>
    <w:rsid w:val="0095245D"/>
    <w:rsid w:val="009805D4"/>
    <w:rsid w:val="009B5688"/>
    <w:rsid w:val="00B25FC9"/>
    <w:rsid w:val="00C07817"/>
    <w:rsid w:val="00C466AE"/>
    <w:rsid w:val="00D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4C7B"/>
  <w15:chartTrackingRefBased/>
  <w15:docId w15:val="{09B01F09-B3E9-4A8C-A695-0A1126A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34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Virgiliu Nicolescu</dc:creator>
  <cp:keywords/>
  <dc:description/>
  <cp:lastModifiedBy>Ruxandra Zamfir</cp:lastModifiedBy>
  <cp:revision>2</cp:revision>
  <dcterms:created xsi:type="dcterms:W3CDTF">2024-12-18T12:53:00Z</dcterms:created>
  <dcterms:modified xsi:type="dcterms:W3CDTF">2024-12-18T12:53:00Z</dcterms:modified>
</cp:coreProperties>
</file>