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0F8DF" w14:textId="77777777" w:rsidR="005040AD" w:rsidRPr="005040AD" w:rsidRDefault="005040AD" w:rsidP="005040AD">
      <w:pPr>
        <w:jc w:val="both"/>
      </w:pPr>
      <w:r w:rsidRPr="005040AD">
        <w:rPr>
          <w:b/>
          <w:bCs/>
        </w:rPr>
        <w:t>Project PN23300102: Development and Technological Advancement of Methods for Assessing, Monitoring, and Mitigating Pollution with Plastic Objects and Particles in the Coastal and Shelf Areas of the Black Sea</w:t>
      </w:r>
    </w:p>
    <w:p w14:paraId="3B486E4F" w14:textId="77777777" w:rsidR="005040AD" w:rsidRPr="005040AD" w:rsidRDefault="005040AD" w:rsidP="005040AD">
      <w:pPr>
        <w:jc w:val="both"/>
        <w:rPr>
          <w:b/>
          <w:bCs/>
        </w:rPr>
      </w:pPr>
      <w:r w:rsidRPr="005040AD">
        <w:rPr>
          <w:b/>
          <w:bCs/>
        </w:rPr>
        <w:t>Phase 4: Assessment of Macro-Waste and Microplastic Pollution in the Coastal and Inner Shelf Areas During Spring</w:t>
      </w:r>
    </w:p>
    <w:p w14:paraId="64BCAABB" w14:textId="77777777" w:rsidR="005040AD" w:rsidRPr="005040AD" w:rsidRDefault="005040AD" w:rsidP="005040AD">
      <w:pPr>
        <w:jc w:val="both"/>
      </w:pPr>
      <w:r w:rsidRPr="005040AD">
        <w:t>The activities within Phase 4 include:</w:t>
      </w:r>
    </w:p>
    <w:p w14:paraId="34EEC690" w14:textId="77777777" w:rsidR="005040AD" w:rsidRPr="005040AD" w:rsidRDefault="005040AD" w:rsidP="005040AD">
      <w:pPr>
        <w:spacing w:after="80" w:line="276" w:lineRule="auto"/>
        <w:jc w:val="both"/>
      </w:pPr>
      <w:r w:rsidRPr="005040AD">
        <w:rPr>
          <w:b/>
          <w:bCs/>
        </w:rPr>
        <w:t>Activity 4.1</w:t>
      </w:r>
      <w:r w:rsidRPr="005040AD">
        <w:t>: Organization and preparation for field activities and analytical methods, along with dissemination of results.</w:t>
      </w:r>
    </w:p>
    <w:p w14:paraId="47445B1A" w14:textId="77777777" w:rsidR="005040AD" w:rsidRPr="005040AD" w:rsidRDefault="005040AD" w:rsidP="005040AD">
      <w:pPr>
        <w:spacing w:after="80" w:line="276" w:lineRule="auto"/>
        <w:jc w:val="both"/>
      </w:pPr>
      <w:r w:rsidRPr="005040AD">
        <w:rPr>
          <w:b/>
          <w:bCs/>
        </w:rPr>
        <w:t>Activity 4.2</w:t>
      </w:r>
      <w:r w:rsidRPr="005040AD">
        <w:t>: Conducting fieldwork in the coastal and inner shelf areas.</w:t>
      </w:r>
    </w:p>
    <w:p w14:paraId="2467D7A7" w14:textId="77777777" w:rsidR="005040AD" w:rsidRPr="005040AD" w:rsidRDefault="005040AD" w:rsidP="005040AD">
      <w:pPr>
        <w:spacing w:after="80" w:line="276" w:lineRule="auto"/>
        <w:jc w:val="both"/>
      </w:pPr>
      <w:r w:rsidRPr="005040AD">
        <w:rPr>
          <w:b/>
          <w:bCs/>
        </w:rPr>
        <w:t>Activity 4.3</w:t>
      </w:r>
      <w:r w:rsidRPr="005040AD">
        <w:t>: Laboratory analysis of samples and generation of quantitative and qualitative data.</w:t>
      </w:r>
    </w:p>
    <w:p w14:paraId="3EC8E807" w14:textId="77777777" w:rsidR="005040AD" w:rsidRPr="005040AD" w:rsidRDefault="005040AD" w:rsidP="005040AD">
      <w:pPr>
        <w:spacing w:after="80" w:line="276" w:lineRule="auto"/>
        <w:jc w:val="both"/>
      </w:pPr>
      <w:r w:rsidRPr="005040AD">
        <w:rPr>
          <w:b/>
          <w:bCs/>
        </w:rPr>
        <w:t>Activity 4.4</w:t>
      </w:r>
      <w:r w:rsidRPr="005040AD">
        <w:t>: Interpretation of the obtained data, integration into the monitoring system, and preparation of the phase report.</w:t>
      </w:r>
    </w:p>
    <w:p w14:paraId="3C7A1D86" w14:textId="77777777" w:rsidR="005040AD" w:rsidRPr="005040AD" w:rsidRDefault="005040AD" w:rsidP="005040AD">
      <w:pPr>
        <w:spacing w:after="80" w:line="276" w:lineRule="auto"/>
        <w:jc w:val="both"/>
      </w:pPr>
      <w:r w:rsidRPr="005040AD">
        <w:t xml:space="preserve">Phase 4 resulted in a seasonal description of plastic material pollution on beaches and monitoring of microplastic (MP) pollution in water, sediment, and fauna samples. High concentrations of </w:t>
      </w:r>
      <w:proofErr w:type="spellStart"/>
      <w:r w:rsidRPr="005040AD">
        <w:t>macroplastics</w:t>
      </w:r>
      <w:proofErr w:type="spellEnd"/>
      <w:r w:rsidRPr="005040AD">
        <w:t xml:space="preserve"> were identified on Mangalia Beach (up to 8.6 objects/m²), moderate concentrations on Sulina and Sf. Gheorghe beaches, and low concentrations on beaches at </w:t>
      </w:r>
      <w:proofErr w:type="spellStart"/>
      <w:r w:rsidRPr="005040AD">
        <w:t>Mamaia</w:t>
      </w:r>
      <w:proofErr w:type="spellEnd"/>
      <w:r w:rsidRPr="005040AD">
        <w:t xml:space="preserve">, Constanța, </w:t>
      </w:r>
      <w:proofErr w:type="spellStart"/>
      <w:r w:rsidRPr="005040AD">
        <w:t>Eforie</w:t>
      </w:r>
      <w:proofErr w:type="spellEnd"/>
      <w:r w:rsidRPr="005040AD">
        <w:t xml:space="preserve">, Neptun, and Vama </w:t>
      </w:r>
      <w:proofErr w:type="spellStart"/>
      <w:r w:rsidRPr="005040AD">
        <w:t>Veche</w:t>
      </w:r>
      <w:proofErr w:type="spellEnd"/>
      <w:r w:rsidRPr="005040AD">
        <w:t>.</w:t>
      </w:r>
    </w:p>
    <w:p w14:paraId="33CB745F" w14:textId="77777777" w:rsidR="005040AD" w:rsidRDefault="005040AD" w:rsidP="005040AD">
      <w:pPr>
        <w:spacing w:after="80" w:line="276" w:lineRule="auto"/>
        <w:jc w:val="both"/>
      </w:pPr>
      <w:r w:rsidRPr="005040AD">
        <w:t xml:space="preserve">For sediment MP abundance (Fig. 1), the maximum concentrations were found in the southern coastal areas, particularly at Neptun and Vama </w:t>
      </w:r>
      <w:proofErr w:type="spellStart"/>
      <w:r w:rsidRPr="005040AD">
        <w:t>Veche</w:t>
      </w:r>
      <w:proofErr w:type="spellEnd"/>
      <w:r w:rsidRPr="005040AD">
        <w:t xml:space="preserve"> beaches, with significant percentages also observed in sediments from Sf. Gheorghe.</w:t>
      </w:r>
    </w:p>
    <w:p w14:paraId="1F3C406C" w14:textId="77777777" w:rsidR="005040AD" w:rsidRPr="005040AD" w:rsidRDefault="005040AD" w:rsidP="005040AD">
      <w:pPr>
        <w:spacing w:after="80" w:line="276" w:lineRule="auto"/>
        <w:jc w:val="both"/>
      </w:pPr>
      <w:r>
        <w:rPr>
          <w:noProof/>
        </w:rPr>
        <w:drawing>
          <wp:inline distT="0" distB="0" distL="0" distR="0" wp14:anchorId="5CD112F4" wp14:editId="5BD110F3">
            <wp:extent cx="5760720" cy="1403350"/>
            <wp:effectExtent l="0" t="0" r="11430" b="6350"/>
            <wp:docPr id="2142848929" name="Chart 1">
              <a:extLst xmlns:a="http://schemas.openxmlformats.org/drawingml/2006/main">
                <a:ext uri="{FF2B5EF4-FFF2-40B4-BE49-F238E27FC236}">
                  <a16:creationId xmlns:a16="http://schemas.microsoft.com/office/drawing/2014/main" id="{9E704586-7430-CDF9-8837-8C25B191B9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58035E4" w14:textId="77777777" w:rsidR="005040AD" w:rsidRDefault="005040AD" w:rsidP="005040AD">
      <w:pPr>
        <w:spacing w:after="80" w:line="276" w:lineRule="auto"/>
        <w:jc w:val="center"/>
        <w:rPr>
          <w:i/>
          <w:iCs/>
        </w:rPr>
      </w:pPr>
      <w:r w:rsidRPr="005040AD">
        <w:rPr>
          <w:i/>
          <w:iCs/>
        </w:rPr>
        <w:t>Fig. 1. Microplastic concentrations in beach sediments (SW – Swash Zone, LVF – Storm Wave Limit, Lim Veg – Vegetation Limit, 2nd Berm) and aquatic sediments (S)</w:t>
      </w:r>
      <w:r>
        <w:rPr>
          <w:i/>
          <w:iCs/>
        </w:rPr>
        <w:t>; total particles identified in 0.5 kg.</w:t>
      </w:r>
    </w:p>
    <w:p w14:paraId="02A050B0" w14:textId="77777777" w:rsidR="005040AD" w:rsidRDefault="005040AD" w:rsidP="005040AD">
      <w:pPr>
        <w:spacing w:after="80" w:line="276" w:lineRule="auto"/>
        <w:jc w:val="both"/>
      </w:pPr>
      <w:r w:rsidRPr="005040AD">
        <w:t xml:space="preserve">Quantitative visual investigations of water samples revealed that marine water pollution levels were low in areas adjacent to Sulina, Sf. Gheorghe, Constanța (Modern Beach), and </w:t>
      </w:r>
      <w:proofErr w:type="spellStart"/>
      <w:r w:rsidRPr="005040AD">
        <w:t>Eforie</w:t>
      </w:r>
      <w:proofErr w:type="spellEnd"/>
      <w:r w:rsidRPr="005040AD">
        <w:t xml:space="preserve"> but high in areas near </w:t>
      </w:r>
      <w:proofErr w:type="spellStart"/>
      <w:r w:rsidRPr="005040AD">
        <w:t>Mamaia</w:t>
      </w:r>
      <w:proofErr w:type="spellEnd"/>
      <w:r w:rsidRPr="005040AD">
        <w:t xml:space="preserve">. Surface water samples showed an average MP concentration of 0.58 MPs/m³. Low concentrations (&lt;0.5 MPs/m³) were recorded near Sulina, Sf. Gheorghe, Constanța, and </w:t>
      </w:r>
      <w:proofErr w:type="spellStart"/>
      <w:r w:rsidRPr="005040AD">
        <w:t>Eforie</w:t>
      </w:r>
      <w:proofErr w:type="spellEnd"/>
      <w:r w:rsidRPr="005040AD">
        <w:t xml:space="preserve">, whereas high concentrations (7 MPs/m³) were identified near </w:t>
      </w:r>
      <w:proofErr w:type="spellStart"/>
      <w:r w:rsidRPr="005040AD">
        <w:t>Mamaia</w:t>
      </w:r>
      <w:proofErr w:type="spellEnd"/>
      <w:r w:rsidRPr="005040AD">
        <w:t>.</w:t>
      </w:r>
    </w:p>
    <w:p w14:paraId="5B440FC8" w14:textId="77777777" w:rsidR="005040AD" w:rsidRPr="005040AD" w:rsidRDefault="005040AD" w:rsidP="005040AD">
      <w:pPr>
        <w:spacing w:after="80" w:line="276" w:lineRule="auto"/>
        <w:jc w:val="both"/>
      </w:pPr>
    </w:p>
    <w:p w14:paraId="5D1E4D10" w14:textId="77777777" w:rsidR="005040AD" w:rsidRPr="005040AD" w:rsidRDefault="005040AD" w:rsidP="005040AD">
      <w:pPr>
        <w:spacing w:after="80" w:line="276" w:lineRule="auto"/>
        <w:jc w:val="both"/>
        <w:rPr>
          <w:b/>
          <w:bCs/>
        </w:rPr>
      </w:pPr>
      <w:r w:rsidRPr="005040AD">
        <w:rPr>
          <w:b/>
          <w:bCs/>
        </w:rPr>
        <w:t>Phase 5: Development of Theoretical and Experimental Models for Technological Equipment</w:t>
      </w:r>
    </w:p>
    <w:p w14:paraId="6E7F54BF" w14:textId="77777777" w:rsidR="005040AD" w:rsidRPr="005040AD" w:rsidRDefault="005040AD" w:rsidP="005040AD">
      <w:pPr>
        <w:spacing w:after="80" w:line="276" w:lineRule="auto"/>
        <w:jc w:val="both"/>
      </w:pPr>
      <w:r w:rsidRPr="005040AD">
        <w:t>Activities undertaken</w:t>
      </w:r>
      <w:r>
        <w:t xml:space="preserve"> in Phase 5</w:t>
      </w:r>
      <w:r w:rsidRPr="005040AD">
        <w:t>:</w:t>
      </w:r>
    </w:p>
    <w:p w14:paraId="25E31FD8" w14:textId="77777777" w:rsidR="005040AD" w:rsidRPr="005040AD" w:rsidRDefault="005040AD" w:rsidP="005040AD">
      <w:pPr>
        <w:spacing w:after="80" w:line="276" w:lineRule="auto"/>
        <w:jc w:val="both"/>
      </w:pPr>
      <w:r w:rsidRPr="005040AD">
        <w:rPr>
          <w:b/>
          <w:bCs/>
        </w:rPr>
        <w:t>Activity 5.1</w:t>
      </w:r>
      <w:r w:rsidRPr="005040AD">
        <w:t>: Continued development and refinement of theoretical models.</w:t>
      </w:r>
    </w:p>
    <w:p w14:paraId="15497012" w14:textId="77777777" w:rsidR="005040AD" w:rsidRPr="005040AD" w:rsidRDefault="005040AD" w:rsidP="005040AD">
      <w:pPr>
        <w:spacing w:after="80" w:line="276" w:lineRule="auto"/>
        <w:jc w:val="both"/>
      </w:pPr>
      <w:r w:rsidRPr="005040AD">
        <w:rPr>
          <w:b/>
          <w:bCs/>
        </w:rPr>
        <w:t>Activity 5.2</w:t>
      </w:r>
      <w:r w:rsidRPr="005040AD">
        <w:t>: Development of equipment, including assembly and pre-testing in controlled environments.</w:t>
      </w:r>
    </w:p>
    <w:p w14:paraId="3D5D2AC5" w14:textId="77777777" w:rsidR="005040AD" w:rsidRPr="005040AD" w:rsidRDefault="005040AD" w:rsidP="005040AD">
      <w:pPr>
        <w:spacing w:after="80" w:line="276" w:lineRule="auto"/>
        <w:jc w:val="both"/>
      </w:pPr>
      <w:r w:rsidRPr="005040AD">
        <w:rPr>
          <w:b/>
          <w:bCs/>
        </w:rPr>
        <w:lastRenderedPageBreak/>
        <w:t>Activity 5.3</w:t>
      </w:r>
      <w:r w:rsidRPr="005040AD">
        <w:t>: Identification of required experimental adjustments to the prototypes and preparation of the phase report.</w:t>
      </w:r>
    </w:p>
    <w:p w14:paraId="3A3EA54D" w14:textId="77777777" w:rsidR="005040AD" w:rsidRPr="005040AD" w:rsidRDefault="005040AD" w:rsidP="005040AD">
      <w:pPr>
        <w:spacing w:after="80" w:line="276" w:lineRule="auto"/>
        <w:jc w:val="both"/>
      </w:pPr>
      <w:r w:rsidRPr="005040AD">
        <w:t>Three technological directions were pursued to address plastic pollution in natural areas</w:t>
      </w:r>
      <w:r>
        <w:t xml:space="preserve"> as </w:t>
      </w:r>
      <w:proofErr w:type="spellStart"/>
      <w:r>
        <w:t>pattent</w:t>
      </w:r>
      <w:proofErr w:type="spellEnd"/>
      <w:r>
        <w:t xml:space="preserve"> applications or theoretical advancing</w:t>
      </w:r>
      <w:r w:rsidRPr="005040AD">
        <w:t>:</w:t>
      </w:r>
    </w:p>
    <w:p w14:paraId="10585DBB" w14:textId="77777777" w:rsidR="005040AD" w:rsidRPr="005040AD" w:rsidRDefault="005040AD" w:rsidP="005040AD">
      <w:pPr>
        <w:numPr>
          <w:ilvl w:val="0"/>
          <w:numId w:val="3"/>
        </w:numPr>
        <w:tabs>
          <w:tab w:val="clear" w:pos="720"/>
          <w:tab w:val="num" w:pos="426"/>
        </w:tabs>
        <w:spacing w:after="80" w:line="276" w:lineRule="auto"/>
        <w:ind w:left="426" w:hanging="426"/>
        <w:jc w:val="both"/>
      </w:pPr>
      <w:r w:rsidRPr="005040AD">
        <w:rPr>
          <w:b/>
          <w:bCs/>
        </w:rPr>
        <w:t>Innovative Gyroscopically Stabilized Crane Arm System for Deep-Sea Applications</w:t>
      </w:r>
      <w:r w:rsidRPr="005040AD">
        <w:t xml:space="preserve"> (</w:t>
      </w:r>
      <w:r w:rsidR="002C76F3">
        <w:t xml:space="preserve">OSIM </w:t>
      </w:r>
      <w:r w:rsidRPr="005040AD">
        <w:t>Patent Application No. 342 / 27.05.2024).</w:t>
      </w:r>
    </w:p>
    <w:p w14:paraId="291091D9" w14:textId="77777777" w:rsidR="005040AD" w:rsidRPr="005040AD" w:rsidRDefault="005040AD" w:rsidP="005040AD">
      <w:pPr>
        <w:numPr>
          <w:ilvl w:val="0"/>
          <w:numId w:val="3"/>
        </w:numPr>
        <w:tabs>
          <w:tab w:val="clear" w:pos="720"/>
          <w:tab w:val="num" w:pos="426"/>
        </w:tabs>
        <w:spacing w:after="80" w:line="276" w:lineRule="auto"/>
        <w:ind w:left="426" w:hanging="426"/>
        <w:jc w:val="both"/>
      </w:pPr>
      <w:r w:rsidRPr="005040AD">
        <w:rPr>
          <w:b/>
          <w:bCs/>
        </w:rPr>
        <w:t xml:space="preserve">Equipment and Method for Detecting </w:t>
      </w:r>
      <w:proofErr w:type="spellStart"/>
      <w:r w:rsidRPr="005040AD">
        <w:rPr>
          <w:b/>
          <w:bCs/>
        </w:rPr>
        <w:t>Macroplastic</w:t>
      </w:r>
      <w:proofErr w:type="spellEnd"/>
      <w:r w:rsidRPr="005040AD">
        <w:rPr>
          <w:b/>
          <w:bCs/>
        </w:rPr>
        <w:t xml:space="preserve"> Waste in Subaquatic Environments</w:t>
      </w:r>
      <w:r w:rsidRPr="005040AD">
        <w:t xml:space="preserve"> (</w:t>
      </w:r>
      <w:r w:rsidR="002C76F3">
        <w:t xml:space="preserve">OSIM </w:t>
      </w:r>
      <w:r w:rsidRPr="005040AD">
        <w:t>Patent Application No. 596 / 03.09.2024).</w:t>
      </w:r>
    </w:p>
    <w:p w14:paraId="7BB7ED2C" w14:textId="77777777" w:rsidR="005040AD" w:rsidRPr="005040AD" w:rsidRDefault="005040AD" w:rsidP="005040AD">
      <w:pPr>
        <w:numPr>
          <w:ilvl w:val="0"/>
          <w:numId w:val="3"/>
        </w:numPr>
        <w:tabs>
          <w:tab w:val="clear" w:pos="720"/>
          <w:tab w:val="num" w:pos="426"/>
        </w:tabs>
        <w:spacing w:after="80" w:line="276" w:lineRule="auto"/>
        <w:ind w:left="426" w:hanging="426"/>
        <w:jc w:val="both"/>
      </w:pPr>
      <w:r w:rsidRPr="005040AD">
        <w:t xml:space="preserve">An </w:t>
      </w:r>
      <w:r w:rsidRPr="005040AD">
        <w:rPr>
          <w:b/>
          <w:bCs/>
        </w:rPr>
        <w:t>Autonomous Device for Collecting Plastics and Microplastics from Beach Sediments</w:t>
      </w:r>
      <w:r w:rsidRPr="005040AD">
        <w:t>, currently under further development with modern technologies and multiple enhancements, aiming for submission to OSIM and later to the European Patent Office (EPO).</w:t>
      </w:r>
    </w:p>
    <w:p w14:paraId="5A12ABCA" w14:textId="77777777" w:rsidR="005040AD" w:rsidRDefault="005040AD" w:rsidP="005040AD">
      <w:pPr>
        <w:spacing w:after="80" w:line="276" w:lineRule="auto"/>
        <w:jc w:val="both"/>
      </w:pPr>
      <w:r w:rsidRPr="005040AD">
        <w:t xml:space="preserve">Prototype testing occurred in controlled environments (e.g., electrostatic separators for microplastics) and field settings (various sonar systems for detecting </w:t>
      </w:r>
      <w:proofErr w:type="spellStart"/>
      <w:r w:rsidRPr="005040AD">
        <w:t>macroplastics</w:t>
      </w:r>
      <w:proofErr w:type="spellEnd"/>
      <w:r w:rsidRPr="005040AD">
        <w:t xml:space="preserve"> in aquatic environments). These efforts have supported the evaluation and monitoring of plastic waste (macro and microplastics) in key areas of interest within the coastal and shelf zones and facilitated the creation of innovative </w:t>
      </w:r>
      <w:r w:rsidR="0056444F" w:rsidRPr="005040AD">
        <w:t>technologies</w:t>
      </w:r>
      <w:r w:rsidR="0056444F">
        <w:t xml:space="preserve"> for </w:t>
      </w:r>
      <w:r w:rsidRPr="005040AD">
        <w:t xml:space="preserve">identification and </w:t>
      </w:r>
      <w:r w:rsidR="0056444F">
        <w:t>sampling / collection of macro-/microplastics</w:t>
      </w:r>
      <w:r w:rsidRPr="005040AD">
        <w:t>.</w:t>
      </w:r>
    </w:p>
    <w:p w14:paraId="19555980" w14:textId="77777777" w:rsidR="005040AD" w:rsidRPr="005040AD" w:rsidRDefault="005040AD" w:rsidP="005040AD">
      <w:pPr>
        <w:spacing w:after="80" w:line="276" w:lineRule="auto"/>
        <w:jc w:val="both"/>
      </w:pPr>
    </w:p>
    <w:p w14:paraId="7A57334D" w14:textId="77777777" w:rsidR="005040AD" w:rsidRPr="005040AD" w:rsidRDefault="005040AD" w:rsidP="005040AD">
      <w:pPr>
        <w:spacing w:after="80" w:line="276" w:lineRule="auto"/>
        <w:jc w:val="both"/>
        <w:rPr>
          <w:b/>
          <w:bCs/>
        </w:rPr>
      </w:pPr>
      <w:r w:rsidRPr="005040AD">
        <w:rPr>
          <w:b/>
          <w:bCs/>
        </w:rPr>
        <w:t>Phase 6: Assessment of Macro-Waste and Microplastic Pollution in the Coastal and Inner Shelf Areas During Autumn</w:t>
      </w:r>
    </w:p>
    <w:p w14:paraId="7E580CD3" w14:textId="77777777" w:rsidR="005040AD" w:rsidRPr="005040AD" w:rsidRDefault="005040AD" w:rsidP="005040AD">
      <w:pPr>
        <w:spacing w:after="80" w:line="276" w:lineRule="auto"/>
        <w:jc w:val="both"/>
      </w:pPr>
      <w:r w:rsidRPr="005040AD">
        <w:t>The activities in Phase 6 include:</w:t>
      </w:r>
    </w:p>
    <w:p w14:paraId="12F10499" w14:textId="77777777" w:rsidR="005040AD" w:rsidRPr="005040AD" w:rsidRDefault="005040AD" w:rsidP="005040AD">
      <w:pPr>
        <w:spacing w:after="80" w:line="276" w:lineRule="auto"/>
        <w:jc w:val="both"/>
      </w:pPr>
      <w:r w:rsidRPr="005040AD">
        <w:rPr>
          <w:b/>
          <w:bCs/>
        </w:rPr>
        <w:t>Activity 6.1</w:t>
      </w:r>
      <w:r w:rsidRPr="005040AD">
        <w:t>: Organization and preparation for field and analytical methods.</w:t>
      </w:r>
    </w:p>
    <w:p w14:paraId="434A247E" w14:textId="77777777" w:rsidR="005040AD" w:rsidRPr="005040AD" w:rsidRDefault="005040AD" w:rsidP="005040AD">
      <w:pPr>
        <w:spacing w:after="80" w:line="276" w:lineRule="auto"/>
        <w:jc w:val="both"/>
      </w:pPr>
      <w:r w:rsidRPr="005040AD">
        <w:rPr>
          <w:b/>
          <w:bCs/>
        </w:rPr>
        <w:t>Activity 6.2</w:t>
      </w:r>
      <w:r w:rsidRPr="005040AD">
        <w:t>: Conducting fieldwork in the coastal and inner shelf areas.</w:t>
      </w:r>
    </w:p>
    <w:p w14:paraId="0E66D77C" w14:textId="77777777" w:rsidR="005040AD" w:rsidRPr="005040AD" w:rsidRDefault="005040AD" w:rsidP="005040AD">
      <w:pPr>
        <w:spacing w:after="80" w:line="276" w:lineRule="auto"/>
        <w:jc w:val="both"/>
      </w:pPr>
      <w:r w:rsidRPr="005040AD">
        <w:rPr>
          <w:b/>
          <w:bCs/>
        </w:rPr>
        <w:t>Activity 6.3</w:t>
      </w:r>
      <w:r w:rsidRPr="005040AD">
        <w:t>: Laboratory analysis of samples to obtain quantitative and qualitative data.</w:t>
      </w:r>
    </w:p>
    <w:p w14:paraId="1A655E21" w14:textId="77777777" w:rsidR="005040AD" w:rsidRPr="005040AD" w:rsidRDefault="005040AD" w:rsidP="005040AD">
      <w:pPr>
        <w:spacing w:after="80" w:line="276" w:lineRule="auto"/>
        <w:jc w:val="both"/>
      </w:pPr>
      <w:r w:rsidRPr="005040AD">
        <w:rPr>
          <w:b/>
          <w:bCs/>
        </w:rPr>
        <w:t>Activity 6.4</w:t>
      </w:r>
      <w:r w:rsidRPr="005040AD">
        <w:t>: Interpretation of data and integration into the monitoring system.</w:t>
      </w:r>
    </w:p>
    <w:p w14:paraId="3DD8E6AA" w14:textId="77777777" w:rsidR="005040AD" w:rsidRPr="005040AD" w:rsidRDefault="005040AD" w:rsidP="005040AD">
      <w:pPr>
        <w:spacing w:after="80" w:line="276" w:lineRule="auto"/>
        <w:jc w:val="both"/>
      </w:pPr>
      <w:r w:rsidRPr="005040AD">
        <w:rPr>
          <w:b/>
          <w:bCs/>
        </w:rPr>
        <w:t>Activity 6.5</w:t>
      </w:r>
      <w:r w:rsidRPr="005040AD">
        <w:t>: Dissemination of results and preparation of the phase report.</w:t>
      </w:r>
    </w:p>
    <w:p w14:paraId="4515D6F5" w14:textId="77777777" w:rsidR="005040AD" w:rsidRPr="005040AD" w:rsidRDefault="005040AD" w:rsidP="005040AD">
      <w:pPr>
        <w:spacing w:after="80" w:line="276" w:lineRule="auto"/>
        <w:jc w:val="both"/>
      </w:pPr>
      <w:r w:rsidRPr="005040AD">
        <w:t xml:space="preserve">Phase 6 extended the monitoring program to examine macro-waste and microplastic pollution in beach sediments, shelf sediments (5–10 m depth), surface seawater (approximately 20 cm depth), and 10 specimens of </w:t>
      </w:r>
      <w:proofErr w:type="spellStart"/>
      <w:r>
        <w:t>g</w:t>
      </w:r>
      <w:r w:rsidRPr="005040AD">
        <w:t>ibel</w:t>
      </w:r>
      <w:proofErr w:type="spellEnd"/>
      <w:r w:rsidRPr="005040AD">
        <w:t xml:space="preserve"> carp (</w:t>
      </w:r>
      <w:r w:rsidRPr="005040AD">
        <w:rPr>
          <w:i/>
          <w:iCs/>
        </w:rPr>
        <w:t xml:space="preserve">Carassius </w:t>
      </w:r>
      <w:proofErr w:type="spellStart"/>
      <w:r w:rsidRPr="005040AD">
        <w:rPr>
          <w:i/>
          <w:iCs/>
        </w:rPr>
        <w:t>gibelio</w:t>
      </w:r>
      <w:proofErr w:type="spellEnd"/>
      <w:r w:rsidRPr="005040AD">
        <w:t>), focusing on digestive tracts and gills.</w:t>
      </w:r>
    </w:p>
    <w:p w14:paraId="71E44E9E" w14:textId="77777777" w:rsidR="005040AD" w:rsidRPr="005040AD" w:rsidRDefault="005040AD" w:rsidP="005040AD">
      <w:pPr>
        <w:spacing w:after="80" w:line="276" w:lineRule="auto"/>
        <w:jc w:val="both"/>
      </w:pPr>
      <w:r w:rsidRPr="005040AD">
        <w:t xml:space="preserve">Macro-waste pollution was assessed similarly to the spring campaign. Sulina and Constanța beaches showed high pollution levels (15–25 objects/10 m²), while Mangalia reached critical levels (64 objects/10 m²). Sf. Gheorghe, </w:t>
      </w:r>
      <w:proofErr w:type="spellStart"/>
      <w:r w:rsidRPr="005040AD">
        <w:t>Eforie</w:t>
      </w:r>
      <w:proofErr w:type="spellEnd"/>
      <w:r w:rsidRPr="005040AD">
        <w:t xml:space="preserve"> Nord, and Tuzla exhibited low pollution levels (0–2 objects/10 m²), with moderate pollution in </w:t>
      </w:r>
      <w:proofErr w:type="spellStart"/>
      <w:r w:rsidRPr="005040AD">
        <w:t>Mamaia</w:t>
      </w:r>
      <w:proofErr w:type="spellEnd"/>
      <w:r w:rsidRPr="005040AD">
        <w:t xml:space="preserve"> and Neptun (1–10 objects/m²). Observations revealed significant inter-beach variability influenced by recent cleaning activities and proximity to the shoreline.</w:t>
      </w:r>
    </w:p>
    <w:p w14:paraId="5EA8E687" w14:textId="77777777" w:rsidR="005040AD" w:rsidRDefault="005040AD" w:rsidP="005040AD">
      <w:pPr>
        <w:spacing w:after="80" w:line="276" w:lineRule="auto"/>
        <w:jc w:val="both"/>
      </w:pPr>
      <w:r w:rsidRPr="005040AD">
        <w:t>Across all phases, the project successfully conducted field, laboratory, and office activities, contributing to scientific understanding and raising awareness of anthropogenic pollution impacts through publications and outreach activities.</w:t>
      </w:r>
    </w:p>
    <w:p w14:paraId="10A0AEE0" w14:textId="77777777" w:rsidR="005040AD" w:rsidRDefault="005040AD" w:rsidP="005040AD">
      <w:pPr>
        <w:spacing w:after="80" w:line="276" w:lineRule="auto"/>
        <w:jc w:val="both"/>
        <w:rPr>
          <w:b/>
          <w:bCs/>
        </w:rPr>
      </w:pPr>
    </w:p>
    <w:p w14:paraId="7F617514" w14:textId="77777777" w:rsidR="005040AD" w:rsidRPr="005040AD" w:rsidRDefault="005040AD" w:rsidP="005040AD">
      <w:pPr>
        <w:spacing w:after="80" w:line="276" w:lineRule="auto"/>
        <w:jc w:val="both"/>
        <w:rPr>
          <w:b/>
          <w:bCs/>
        </w:rPr>
      </w:pPr>
      <w:r w:rsidRPr="005040AD">
        <w:rPr>
          <w:b/>
          <w:bCs/>
        </w:rPr>
        <w:t>Key Publications and Outreach</w:t>
      </w:r>
      <w:r>
        <w:rPr>
          <w:b/>
          <w:bCs/>
        </w:rPr>
        <w:t xml:space="preserve"> for Phase 4-6 (2024)</w:t>
      </w:r>
    </w:p>
    <w:p w14:paraId="58D578D3" w14:textId="77777777" w:rsidR="005040AD" w:rsidRPr="005040AD" w:rsidRDefault="005040AD" w:rsidP="005040AD">
      <w:pPr>
        <w:numPr>
          <w:ilvl w:val="0"/>
          <w:numId w:val="5"/>
        </w:numPr>
        <w:tabs>
          <w:tab w:val="clear" w:pos="720"/>
          <w:tab w:val="num" w:pos="426"/>
        </w:tabs>
        <w:spacing w:after="80" w:line="276" w:lineRule="auto"/>
        <w:ind w:left="426" w:hanging="426"/>
        <w:jc w:val="both"/>
      </w:pPr>
      <w:r w:rsidRPr="005040AD">
        <w:rPr>
          <w:b/>
          <w:bCs/>
        </w:rPr>
        <w:t>Pojar et al. (2024)</w:t>
      </w:r>
      <w:r w:rsidRPr="005040AD">
        <w:t xml:space="preserve">: </w:t>
      </w:r>
      <w:r w:rsidRPr="005040AD">
        <w:rPr>
          <w:i/>
          <w:iCs/>
        </w:rPr>
        <w:t>Microplastic occurrence in coastal waters and aquatic faunas of the Western Black Sea.</w:t>
      </w:r>
      <w:r w:rsidRPr="005040AD">
        <w:t xml:space="preserve"> EGU General Assembly Conference Abstracts.</w:t>
      </w:r>
    </w:p>
    <w:p w14:paraId="10891A89" w14:textId="77777777" w:rsidR="005040AD" w:rsidRPr="005040AD" w:rsidRDefault="005040AD" w:rsidP="005040AD">
      <w:pPr>
        <w:numPr>
          <w:ilvl w:val="0"/>
          <w:numId w:val="5"/>
        </w:numPr>
        <w:tabs>
          <w:tab w:val="clear" w:pos="720"/>
          <w:tab w:val="num" w:pos="426"/>
        </w:tabs>
        <w:spacing w:after="80" w:line="276" w:lineRule="auto"/>
        <w:ind w:left="426" w:hanging="426"/>
        <w:jc w:val="both"/>
      </w:pPr>
      <w:r w:rsidRPr="005040AD">
        <w:rPr>
          <w:b/>
          <w:bCs/>
        </w:rPr>
        <w:lastRenderedPageBreak/>
        <w:t>Pojar et al. (2024)</w:t>
      </w:r>
      <w:r w:rsidRPr="005040AD">
        <w:t xml:space="preserve">: </w:t>
      </w:r>
      <w:r w:rsidRPr="005040AD">
        <w:rPr>
          <w:i/>
          <w:iCs/>
        </w:rPr>
        <w:t>Microplastic Evaluation in Water and Sediments of a Dam Reservoir–Riverine System in the Eastern Carpathians, Romania.</w:t>
      </w:r>
      <w:r w:rsidRPr="005040AD">
        <w:t xml:space="preserve"> </w:t>
      </w:r>
      <w:r w:rsidRPr="005040AD">
        <w:rPr>
          <w:i/>
          <w:iCs/>
        </w:rPr>
        <w:t>Sustainability</w:t>
      </w:r>
      <w:r w:rsidRPr="005040AD">
        <w:t>, 16(11), 4541.</w:t>
      </w:r>
    </w:p>
    <w:p w14:paraId="76CBB21D" w14:textId="77777777" w:rsidR="005040AD" w:rsidRPr="005040AD" w:rsidRDefault="005040AD" w:rsidP="005040AD">
      <w:pPr>
        <w:numPr>
          <w:ilvl w:val="0"/>
          <w:numId w:val="5"/>
        </w:numPr>
        <w:tabs>
          <w:tab w:val="clear" w:pos="720"/>
          <w:tab w:val="num" w:pos="426"/>
        </w:tabs>
        <w:spacing w:after="80" w:line="276" w:lineRule="auto"/>
        <w:ind w:left="426" w:hanging="426"/>
        <w:jc w:val="both"/>
      </w:pPr>
      <w:proofErr w:type="spellStart"/>
      <w:r w:rsidRPr="005040AD">
        <w:rPr>
          <w:b/>
          <w:bCs/>
        </w:rPr>
        <w:t>Suvaila</w:t>
      </w:r>
      <w:proofErr w:type="spellEnd"/>
      <w:r w:rsidRPr="005040AD">
        <w:rPr>
          <w:b/>
          <w:bCs/>
        </w:rPr>
        <w:t xml:space="preserve"> et al. (2024)</w:t>
      </w:r>
      <w:r w:rsidRPr="005040AD">
        <w:t xml:space="preserve">: </w:t>
      </w:r>
      <w:r w:rsidRPr="005040AD">
        <w:rPr>
          <w:i/>
          <w:iCs/>
        </w:rPr>
        <w:t>Methodology for Regularity Studies by Precision Environmental Gamma Ray Spectrometry.</w:t>
      </w:r>
      <w:r w:rsidRPr="005040AD">
        <w:t xml:space="preserve"> </w:t>
      </w:r>
      <w:r w:rsidRPr="005040AD">
        <w:rPr>
          <w:i/>
          <w:iCs/>
        </w:rPr>
        <w:t>International Journal of Environmental Science and Technology.</w:t>
      </w:r>
    </w:p>
    <w:p w14:paraId="7F7CF326" w14:textId="77777777" w:rsidR="005040AD" w:rsidRPr="005040AD" w:rsidRDefault="005040AD" w:rsidP="005040AD">
      <w:pPr>
        <w:spacing w:after="80" w:line="276" w:lineRule="auto"/>
        <w:jc w:val="both"/>
      </w:pPr>
      <w:r w:rsidRPr="005040AD">
        <w:t>Outreach</w:t>
      </w:r>
      <w:r>
        <w:t xml:space="preserve"> the pollution acknowledging</w:t>
      </w:r>
      <w:r w:rsidRPr="005040AD">
        <w:t xml:space="preserve"> efforts </w:t>
      </w:r>
      <w:r>
        <w:t xml:space="preserve">also </w:t>
      </w:r>
      <w:r w:rsidRPr="005040AD">
        <w:t xml:space="preserve">included educational events, such as a session with students from “Delta </w:t>
      </w:r>
      <w:proofErr w:type="spellStart"/>
      <w:r w:rsidRPr="005040AD">
        <w:t>Dunării</w:t>
      </w:r>
      <w:proofErr w:type="spellEnd"/>
      <w:r w:rsidRPr="005040AD">
        <w:t>” Economic College in Tulcea (September 26, 2024), where technical data on pollution measurements and analyses were presented.</w:t>
      </w:r>
    </w:p>
    <w:p w14:paraId="7788F94E" w14:textId="77777777" w:rsidR="005040AD" w:rsidRDefault="005040AD" w:rsidP="005040AD">
      <w:pPr>
        <w:spacing w:after="80" w:line="276" w:lineRule="auto"/>
        <w:jc w:val="both"/>
      </w:pPr>
    </w:p>
    <w:sectPr w:rsidR="00504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B3207"/>
    <w:multiLevelType w:val="multilevel"/>
    <w:tmpl w:val="F1B0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16B6A"/>
    <w:multiLevelType w:val="multilevel"/>
    <w:tmpl w:val="161A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65637"/>
    <w:multiLevelType w:val="multilevel"/>
    <w:tmpl w:val="8370F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69390F"/>
    <w:multiLevelType w:val="multilevel"/>
    <w:tmpl w:val="76C0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C1FD7"/>
    <w:multiLevelType w:val="multilevel"/>
    <w:tmpl w:val="78D60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3919555">
    <w:abstractNumId w:val="1"/>
  </w:num>
  <w:num w:numId="2" w16cid:durableId="1813209926">
    <w:abstractNumId w:val="3"/>
  </w:num>
  <w:num w:numId="3" w16cid:durableId="1094127206">
    <w:abstractNumId w:val="2"/>
  </w:num>
  <w:num w:numId="4" w16cid:durableId="1306009560">
    <w:abstractNumId w:val="0"/>
  </w:num>
  <w:num w:numId="5" w16cid:durableId="9380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AD"/>
    <w:rsid w:val="001D0E9B"/>
    <w:rsid w:val="002C76F3"/>
    <w:rsid w:val="005040AD"/>
    <w:rsid w:val="0056444F"/>
    <w:rsid w:val="00780D67"/>
    <w:rsid w:val="00956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2722"/>
  <w15:chartTrackingRefBased/>
  <w15:docId w15:val="{1DDEE544-25E0-4535-85E6-2206C222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841006">
      <w:bodyDiv w:val="1"/>
      <w:marLeft w:val="0"/>
      <w:marRight w:val="0"/>
      <w:marTop w:val="0"/>
      <w:marBottom w:val="0"/>
      <w:divBdr>
        <w:top w:val="none" w:sz="0" w:space="0" w:color="auto"/>
        <w:left w:val="none" w:sz="0" w:space="0" w:color="auto"/>
        <w:bottom w:val="none" w:sz="0" w:space="0" w:color="auto"/>
        <w:right w:val="none" w:sz="0" w:space="0" w:color="auto"/>
      </w:divBdr>
    </w:div>
    <w:div w:id="1393502882">
      <w:bodyDiv w:val="1"/>
      <w:marLeft w:val="0"/>
      <w:marRight w:val="0"/>
      <w:marTop w:val="0"/>
      <w:marBottom w:val="0"/>
      <w:divBdr>
        <w:top w:val="none" w:sz="0" w:space="0" w:color="auto"/>
        <w:left w:val="none" w:sz="0" w:space="0" w:color="auto"/>
        <w:bottom w:val="none" w:sz="0" w:space="0" w:color="auto"/>
        <w:right w:val="none" w:sz="0" w:space="0" w:color="auto"/>
      </w:divBdr>
    </w:div>
    <w:div w:id="202751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D:\Desktop%2022.11.24\PN%202023-2027\2024\Faza%204\Sedimente_aprilie%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371023260508347E-2"/>
          <c:y val="4.1050221861280795E-2"/>
          <c:w val="0.90258440050073141"/>
          <c:h val="0.46928309970222332"/>
        </c:manualLayout>
      </c:layout>
      <c:barChart>
        <c:barDir val="col"/>
        <c:grouping val="clustered"/>
        <c:varyColors val="0"/>
        <c:ser>
          <c:idx val="0"/>
          <c:order val="0"/>
          <c:tx>
            <c:strRef>
              <c:f>Total!$B$1:$B$2</c:f>
              <c:strCache>
                <c:ptCount val="2"/>
                <c:pt idx="0">
                  <c:v>Sample</c:v>
                </c:pt>
                <c:pt idx="1">
                  <c:v>Total MPs</c:v>
                </c:pt>
              </c:strCache>
            </c:strRef>
          </c:tx>
          <c:spPr>
            <a:solidFill>
              <a:schemeClr val="accent1"/>
            </a:solidFill>
            <a:ln>
              <a:noFill/>
            </a:ln>
            <a:effectLst/>
          </c:spPr>
          <c:invertIfNegative val="0"/>
          <c:cat>
            <c:strRef>
              <c:f>Total!$A$3:$D$30</c:f>
              <c:strCache>
                <c:ptCount val="56"/>
                <c:pt idx="0">
                  <c:v>SUL01S</c:v>
                </c:pt>
                <c:pt idx="1">
                  <c:v>SUL02S</c:v>
                </c:pt>
                <c:pt idx="2">
                  <c:v>SUL03S</c:v>
                </c:pt>
                <c:pt idx="3">
                  <c:v>SUL04S SW</c:v>
                </c:pt>
                <c:pt idx="4">
                  <c:v>SUL05S LVF</c:v>
                </c:pt>
                <c:pt idx="5">
                  <c:v>SFG01S SW</c:v>
                </c:pt>
                <c:pt idx="6">
                  <c:v>SFG02S LVF</c:v>
                </c:pt>
                <c:pt idx="7">
                  <c:v>SFG03S Lim Veg</c:v>
                </c:pt>
                <c:pt idx="8">
                  <c:v>SFG04S</c:v>
                </c:pt>
                <c:pt idx="9">
                  <c:v>SFG05S</c:v>
                </c:pt>
                <c:pt idx="10">
                  <c:v>SFG06S</c:v>
                </c:pt>
                <c:pt idx="11">
                  <c:v>SFG07S</c:v>
                </c:pt>
                <c:pt idx="12">
                  <c:v>MAM01S SW</c:v>
                </c:pt>
                <c:pt idx="13">
                  <c:v>MAM02S LVF</c:v>
                </c:pt>
                <c:pt idx="14">
                  <c:v>MAM04S SW</c:v>
                </c:pt>
                <c:pt idx="15">
                  <c:v>MAM05S LVF</c:v>
                </c:pt>
                <c:pt idx="16">
                  <c:v>MAM06S 2nd Berm</c:v>
                </c:pt>
                <c:pt idx="17">
                  <c:v>EFO01S SW</c:v>
                </c:pt>
                <c:pt idx="18">
                  <c:v>EFO02S LVF</c:v>
                </c:pt>
                <c:pt idx="19">
                  <c:v>EFO03S Lim Veg</c:v>
                </c:pt>
                <c:pt idx="20">
                  <c:v>EFO04S</c:v>
                </c:pt>
                <c:pt idx="21">
                  <c:v>EFO05S</c:v>
                </c:pt>
                <c:pt idx="22">
                  <c:v>NEP01S SW</c:v>
                </c:pt>
                <c:pt idx="23">
                  <c:v>NEP02S LVF</c:v>
                </c:pt>
                <c:pt idx="24">
                  <c:v>NEP03S 2nd Berm</c:v>
                </c:pt>
                <c:pt idx="25">
                  <c:v>VAM01S SW</c:v>
                </c:pt>
                <c:pt idx="26">
                  <c:v>VAM02S LVF</c:v>
                </c:pt>
                <c:pt idx="27">
                  <c:v>VAM03S 2nd Berm</c:v>
                </c:pt>
                <c:pt idx="28">
                  <c:v>72.98</c:v>
                </c:pt>
                <c:pt idx="29">
                  <c:v>171.30</c:v>
                </c:pt>
                <c:pt idx="30">
                  <c:v>55.16</c:v>
                </c:pt>
                <c:pt idx="31">
                  <c:v>71.65</c:v>
                </c:pt>
                <c:pt idx="32">
                  <c:v>39.39</c:v>
                </c:pt>
                <c:pt idx="33">
                  <c:v>160.99</c:v>
                </c:pt>
                <c:pt idx="34">
                  <c:v>121.68</c:v>
                </c:pt>
                <c:pt idx="35">
                  <c:v>33.39</c:v>
                </c:pt>
                <c:pt idx="36">
                  <c:v>52.95</c:v>
                </c:pt>
                <c:pt idx="37">
                  <c:v>92.91</c:v>
                </c:pt>
                <c:pt idx="38">
                  <c:v>58.43</c:v>
                </c:pt>
                <c:pt idx="39">
                  <c:v>290.33</c:v>
                </c:pt>
                <c:pt idx="40">
                  <c:v>18.05</c:v>
                </c:pt>
                <c:pt idx="41">
                  <c:v>45.27</c:v>
                </c:pt>
                <c:pt idx="42">
                  <c:v>49.23</c:v>
                </c:pt>
                <c:pt idx="43">
                  <c:v>119.70</c:v>
                </c:pt>
                <c:pt idx="44">
                  <c:v>131.32</c:v>
                </c:pt>
                <c:pt idx="45">
                  <c:v>141.10</c:v>
                </c:pt>
                <c:pt idx="46">
                  <c:v>145.08</c:v>
                </c:pt>
                <c:pt idx="47">
                  <c:v>115.78</c:v>
                </c:pt>
                <c:pt idx="48">
                  <c:v>69.68</c:v>
                </c:pt>
                <c:pt idx="49">
                  <c:v>60.97</c:v>
                </c:pt>
                <c:pt idx="50">
                  <c:v>187.47</c:v>
                </c:pt>
                <c:pt idx="51">
                  <c:v>555.24</c:v>
                </c:pt>
                <c:pt idx="52">
                  <c:v>226.11</c:v>
                </c:pt>
                <c:pt idx="53">
                  <c:v>312.84</c:v>
                </c:pt>
                <c:pt idx="54">
                  <c:v>39.19</c:v>
                </c:pt>
                <c:pt idx="55">
                  <c:v>113.53</c:v>
                </c:pt>
              </c:strCache>
            </c:strRef>
          </c:cat>
          <c:val>
            <c:numRef>
              <c:f>Total!$B$3:$B$30</c:f>
            </c:numRef>
          </c:val>
          <c:extLst>
            <c:ext xmlns:c16="http://schemas.microsoft.com/office/drawing/2014/chart" uri="{C3380CC4-5D6E-409C-BE32-E72D297353CC}">
              <c16:uniqueId val="{00000000-65E9-417C-B902-6B55E25ED964}"/>
            </c:ext>
          </c:extLst>
        </c:ser>
        <c:ser>
          <c:idx val="1"/>
          <c:order val="1"/>
          <c:tx>
            <c:strRef>
              <c:f>Total!$C$1:$C$2</c:f>
              <c:strCache>
                <c:ptCount val="2"/>
                <c:pt idx="0">
                  <c:v>Sample</c:v>
                </c:pt>
                <c:pt idx="1">
                  <c:v>Masa sed (g)</c:v>
                </c:pt>
              </c:strCache>
            </c:strRef>
          </c:tx>
          <c:spPr>
            <a:solidFill>
              <a:schemeClr val="accent2"/>
            </a:solidFill>
            <a:ln>
              <a:noFill/>
            </a:ln>
            <a:effectLst/>
          </c:spPr>
          <c:invertIfNegative val="0"/>
          <c:cat>
            <c:strRef>
              <c:f>Total!$A$3:$D$30</c:f>
              <c:strCache>
                <c:ptCount val="56"/>
                <c:pt idx="0">
                  <c:v>SUL01S</c:v>
                </c:pt>
                <c:pt idx="1">
                  <c:v>SUL02S</c:v>
                </c:pt>
                <c:pt idx="2">
                  <c:v>SUL03S</c:v>
                </c:pt>
                <c:pt idx="3">
                  <c:v>SUL04S SW</c:v>
                </c:pt>
                <c:pt idx="4">
                  <c:v>SUL05S LVF</c:v>
                </c:pt>
                <c:pt idx="5">
                  <c:v>SFG01S SW</c:v>
                </c:pt>
                <c:pt idx="6">
                  <c:v>SFG02S LVF</c:v>
                </c:pt>
                <c:pt idx="7">
                  <c:v>SFG03S Lim Veg</c:v>
                </c:pt>
                <c:pt idx="8">
                  <c:v>SFG04S</c:v>
                </c:pt>
                <c:pt idx="9">
                  <c:v>SFG05S</c:v>
                </c:pt>
                <c:pt idx="10">
                  <c:v>SFG06S</c:v>
                </c:pt>
                <c:pt idx="11">
                  <c:v>SFG07S</c:v>
                </c:pt>
                <c:pt idx="12">
                  <c:v>MAM01S SW</c:v>
                </c:pt>
                <c:pt idx="13">
                  <c:v>MAM02S LVF</c:v>
                </c:pt>
                <c:pt idx="14">
                  <c:v>MAM04S SW</c:v>
                </c:pt>
                <c:pt idx="15">
                  <c:v>MAM05S LVF</c:v>
                </c:pt>
                <c:pt idx="16">
                  <c:v>MAM06S 2nd Berm</c:v>
                </c:pt>
                <c:pt idx="17">
                  <c:v>EFO01S SW</c:v>
                </c:pt>
                <c:pt idx="18">
                  <c:v>EFO02S LVF</c:v>
                </c:pt>
                <c:pt idx="19">
                  <c:v>EFO03S Lim Veg</c:v>
                </c:pt>
                <c:pt idx="20">
                  <c:v>EFO04S</c:v>
                </c:pt>
                <c:pt idx="21">
                  <c:v>EFO05S</c:v>
                </c:pt>
                <c:pt idx="22">
                  <c:v>NEP01S SW</c:v>
                </c:pt>
                <c:pt idx="23">
                  <c:v>NEP02S LVF</c:v>
                </c:pt>
                <c:pt idx="24">
                  <c:v>NEP03S 2nd Berm</c:v>
                </c:pt>
                <c:pt idx="25">
                  <c:v>VAM01S SW</c:v>
                </c:pt>
                <c:pt idx="26">
                  <c:v>VAM02S LVF</c:v>
                </c:pt>
                <c:pt idx="27">
                  <c:v>VAM03S 2nd Berm</c:v>
                </c:pt>
                <c:pt idx="28">
                  <c:v>72.98</c:v>
                </c:pt>
                <c:pt idx="29">
                  <c:v>171.30</c:v>
                </c:pt>
                <c:pt idx="30">
                  <c:v>55.16</c:v>
                </c:pt>
                <c:pt idx="31">
                  <c:v>71.65</c:v>
                </c:pt>
                <c:pt idx="32">
                  <c:v>39.39</c:v>
                </c:pt>
                <c:pt idx="33">
                  <c:v>160.99</c:v>
                </c:pt>
                <c:pt idx="34">
                  <c:v>121.68</c:v>
                </c:pt>
                <c:pt idx="35">
                  <c:v>33.39</c:v>
                </c:pt>
                <c:pt idx="36">
                  <c:v>52.95</c:v>
                </c:pt>
                <c:pt idx="37">
                  <c:v>92.91</c:v>
                </c:pt>
                <c:pt idx="38">
                  <c:v>58.43</c:v>
                </c:pt>
                <c:pt idx="39">
                  <c:v>290.33</c:v>
                </c:pt>
                <c:pt idx="40">
                  <c:v>18.05</c:v>
                </c:pt>
                <c:pt idx="41">
                  <c:v>45.27</c:v>
                </c:pt>
                <c:pt idx="42">
                  <c:v>49.23</c:v>
                </c:pt>
                <c:pt idx="43">
                  <c:v>119.70</c:v>
                </c:pt>
                <c:pt idx="44">
                  <c:v>131.32</c:v>
                </c:pt>
                <c:pt idx="45">
                  <c:v>141.10</c:v>
                </c:pt>
                <c:pt idx="46">
                  <c:v>145.08</c:v>
                </c:pt>
                <c:pt idx="47">
                  <c:v>115.78</c:v>
                </c:pt>
                <c:pt idx="48">
                  <c:v>69.68</c:v>
                </c:pt>
                <c:pt idx="49">
                  <c:v>60.97</c:v>
                </c:pt>
                <c:pt idx="50">
                  <c:v>187.47</c:v>
                </c:pt>
                <c:pt idx="51">
                  <c:v>555.24</c:v>
                </c:pt>
                <c:pt idx="52">
                  <c:v>226.11</c:v>
                </c:pt>
                <c:pt idx="53">
                  <c:v>312.84</c:v>
                </c:pt>
                <c:pt idx="54">
                  <c:v>39.19</c:v>
                </c:pt>
                <c:pt idx="55">
                  <c:v>113.53</c:v>
                </c:pt>
              </c:strCache>
            </c:strRef>
          </c:cat>
          <c:val>
            <c:numRef>
              <c:f>Total!$C$3:$C$30</c:f>
            </c:numRef>
          </c:val>
          <c:extLst>
            <c:ext xmlns:c16="http://schemas.microsoft.com/office/drawing/2014/chart" uri="{C3380CC4-5D6E-409C-BE32-E72D297353CC}">
              <c16:uniqueId val="{00000001-65E9-417C-B902-6B55E25ED964}"/>
            </c:ext>
          </c:extLst>
        </c:ser>
        <c:ser>
          <c:idx val="2"/>
          <c:order val="2"/>
          <c:tx>
            <c:strRef>
              <c:f>Total!$D$1:$D$2</c:f>
              <c:strCache>
                <c:ptCount val="2"/>
                <c:pt idx="0">
                  <c:v>MPs / Kg</c:v>
                </c:pt>
              </c:strCache>
            </c:strRef>
          </c:tx>
          <c:spPr>
            <a:solidFill>
              <a:schemeClr val="accent2"/>
            </a:solidFill>
            <a:ln>
              <a:noFill/>
            </a:ln>
            <a:effectLst/>
          </c:spPr>
          <c:invertIfNegative val="0"/>
          <c:cat>
            <c:strRef>
              <c:f>Total!$A$3:$D$30</c:f>
              <c:strCache>
                <c:ptCount val="56"/>
                <c:pt idx="0">
                  <c:v>SUL01S</c:v>
                </c:pt>
                <c:pt idx="1">
                  <c:v>SUL02S</c:v>
                </c:pt>
                <c:pt idx="2">
                  <c:v>SUL03S</c:v>
                </c:pt>
                <c:pt idx="3">
                  <c:v>SUL04S SW</c:v>
                </c:pt>
                <c:pt idx="4">
                  <c:v>SUL05S LVF</c:v>
                </c:pt>
                <c:pt idx="5">
                  <c:v>SFG01S SW</c:v>
                </c:pt>
                <c:pt idx="6">
                  <c:v>SFG02S LVF</c:v>
                </c:pt>
                <c:pt idx="7">
                  <c:v>SFG03S Lim Veg</c:v>
                </c:pt>
                <c:pt idx="8">
                  <c:v>SFG04S</c:v>
                </c:pt>
                <c:pt idx="9">
                  <c:v>SFG05S</c:v>
                </c:pt>
                <c:pt idx="10">
                  <c:v>SFG06S</c:v>
                </c:pt>
                <c:pt idx="11">
                  <c:v>SFG07S</c:v>
                </c:pt>
                <c:pt idx="12">
                  <c:v>MAM01S SW</c:v>
                </c:pt>
                <c:pt idx="13">
                  <c:v>MAM02S LVF</c:v>
                </c:pt>
                <c:pt idx="14">
                  <c:v>MAM04S SW</c:v>
                </c:pt>
                <c:pt idx="15">
                  <c:v>MAM05S LVF</c:v>
                </c:pt>
                <c:pt idx="16">
                  <c:v>MAM06S 2nd Berm</c:v>
                </c:pt>
                <c:pt idx="17">
                  <c:v>EFO01S SW</c:v>
                </c:pt>
                <c:pt idx="18">
                  <c:v>EFO02S LVF</c:v>
                </c:pt>
                <c:pt idx="19">
                  <c:v>EFO03S Lim Veg</c:v>
                </c:pt>
                <c:pt idx="20">
                  <c:v>EFO04S</c:v>
                </c:pt>
                <c:pt idx="21">
                  <c:v>EFO05S</c:v>
                </c:pt>
                <c:pt idx="22">
                  <c:v>NEP01S SW</c:v>
                </c:pt>
                <c:pt idx="23">
                  <c:v>NEP02S LVF</c:v>
                </c:pt>
                <c:pt idx="24">
                  <c:v>NEP03S 2nd Berm</c:v>
                </c:pt>
                <c:pt idx="25">
                  <c:v>VAM01S SW</c:v>
                </c:pt>
                <c:pt idx="26">
                  <c:v>VAM02S LVF</c:v>
                </c:pt>
                <c:pt idx="27">
                  <c:v>VAM03S 2nd Berm</c:v>
                </c:pt>
                <c:pt idx="28">
                  <c:v>72.98</c:v>
                </c:pt>
                <c:pt idx="29">
                  <c:v>171.30</c:v>
                </c:pt>
                <c:pt idx="30">
                  <c:v>55.16</c:v>
                </c:pt>
                <c:pt idx="31">
                  <c:v>71.65</c:v>
                </c:pt>
                <c:pt idx="32">
                  <c:v>39.39</c:v>
                </c:pt>
                <c:pt idx="33">
                  <c:v>160.99</c:v>
                </c:pt>
                <c:pt idx="34">
                  <c:v>121.68</c:v>
                </c:pt>
                <c:pt idx="35">
                  <c:v>33.39</c:v>
                </c:pt>
                <c:pt idx="36">
                  <c:v>52.95</c:v>
                </c:pt>
                <c:pt idx="37">
                  <c:v>92.91</c:v>
                </c:pt>
                <c:pt idx="38">
                  <c:v>58.43</c:v>
                </c:pt>
                <c:pt idx="39">
                  <c:v>290.33</c:v>
                </c:pt>
                <c:pt idx="40">
                  <c:v>18.05</c:v>
                </c:pt>
                <c:pt idx="41">
                  <c:v>45.27</c:v>
                </c:pt>
                <c:pt idx="42">
                  <c:v>49.23</c:v>
                </c:pt>
                <c:pt idx="43">
                  <c:v>119.70</c:v>
                </c:pt>
                <c:pt idx="44">
                  <c:v>131.32</c:v>
                </c:pt>
                <c:pt idx="45">
                  <c:v>141.10</c:v>
                </c:pt>
                <c:pt idx="46">
                  <c:v>145.08</c:v>
                </c:pt>
                <c:pt idx="47">
                  <c:v>115.78</c:v>
                </c:pt>
                <c:pt idx="48">
                  <c:v>69.68</c:v>
                </c:pt>
                <c:pt idx="49">
                  <c:v>60.97</c:v>
                </c:pt>
                <c:pt idx="50">
                  <c:v>187.47</c:v>
                </c:pt>
                <c:pt idx="51">
                  <c:v>555.24</c:v>
                </c:pt>
                <c:pt idx="52">
                  <c:v>226.11</c:v>
                </c:pt>
                <c:pt idx="53">
                  <c:v>312.84</c:v>
                </c:pt>
                <c:pt idx="54">
                  <c:v>39.19</c:v>
                </c:pt>
                <c:pt idx="55">
                  <c:v>113.53</c:v>
                </c:pt>
              </c:strCache>
            </c:strRef>
          </c:cat>
          <c:val>
            <c:numRef>
              <c:f>Total!$D$3:$D$30</c:f>
              <c:numCache>
                <c:formatCode>0.00</c:formatCode>
                <c:ptCount val="28"/>
                <c:pt idx="0">
                  <c:v>72.97716422902667</c:v>
                </c:pt>
                <c:pt idx="1">
                  <c:v>171.29524543520606</c:v>
                </c:pt>
                <c:pt idx="2">
                  <c:v>55.162875648625679</c:v>
                </c:pt>
                <c:pt idx="3">
                  <c:v>71.64820730214646</c:v>
                </c:pt>
                <c:pt idx="4">
                  <c:v>39.387971519466745</c:v>
                </c:pt>
                <c:pt idx="5">
                  <c:v>160.99218889750162</c:v>
                </c:pt>
                <c:pt idx="6">
                  <c:v>121.68346427532207</c:v>
                </c:pt>
                <c:pt idx="7">
                  <c:v>33.386954806203903</c:v>
                </c:pt>
                <c:pt idx="8">
                  <c:v>52.954292084726866</c:v>
                </c:pt>
                <c:pt idx="9">
                  <c:v>92.905895829264296</c:v>
                </c:pt>
                <c:pt idx="10">
                  <c:v>58.434959349593491</c:v>
                </c:pt>
                <c:pt idx="11">
                  <c:v>290.33092446645094</c:v>
                </c:pt>
                <c:pt idx="12">
                  <c:v>18.046741059343699</c:v>
                </c:pt>
                <c:pt idx="13">
                  <c:v>45.268328014304792</c:v>
                </c:pt>
                <c:pt idx="14">
                  <c:v>49.228274404193094</c:v>
                </c:pt>
                <c:pt idx="15">
                  <c:v>119.7045341741847</c:v>
                </c:pt>
                <c:pt idx="16">
                  <c:v>131.31792908831829</c:v>
                </c:pt>
                <c:pt idx="17">
                  <c:v>141.09862307205762</c:v>
                </c:pt>
                <c:pt idx="18">
                  <c:v>145.08428077765174</c:v>
                </c:pt>
                <c:pt idx="19">
                  <c:v>115.77669217518991</c:v>
                </c:pt>
                <c:pt idx="20">
                  <c:v>69.679421871948222</c:v>
                </c:pt>
                <c:pt idx="21">
                  <c:v>60.969494137954698</c:v>
                </c:pt>
                <c:pt idx="22">
                  <c:v>187.46822572445348</c:v>
                </c:pt>
                <c:pt idx="23">
                  <c:v>555.24318245712675</c:v>
                </c:pt>
                <c:pt idx="24">
                  <c:v>226.10753253582226</c:v>
                </c:pt>
                <c:pt idx="25">
                  <c:v>312.84124782339228</c:v>
                </c:pt>
                <c:pt idx="26">
                  <c:v>39.193729003359465</c:v>
                </c:pt>
                <c:pt idx="27">
                  <c:v>113.53471409894722</c:v>
                </c:pt>
              </c:numCache>
            </c:numRef>
          </c:val>
          <c:extLst>
            <c:ext xmlns:c16="http://schemas.microsoft.com/office/drawing/2014/chart" uri="{C3380CC4-5D6E-409C-BE32-E72D297353CC}">
              <c16:uniqueId val="{00000002-65E9-417C-B902-6B55E25ED964}"/>
            </c:ext>
          </c:extLst>
        </c:ser>
        <c:dLbls>
          <c:showLegendKey val="0"/>
          <c:showVal val="0"/>
          <c:showCatName val="0"/>
          <c:showSerName val="0"/>
          <c:showPercent val="0"/>
          <c:showBubbleSize val="0"/>
        </c:dLbls>
        <c:gapWidth val="182"/>
        <c:axId val="1779555519"/>
        <c:axId val="1779541599"/>
      </c:barChart>
      <c:catAx>
        <c:axId val="1779555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79541599"/>
        <c:crosses val="autoZero"/>
        <c:auto val="1"/>
        <c:lblAlgn val="ctr"/>
        <c:lblOffset val="100"/>
        <c:noMultiLvlLbl val="0"/>
      </c:catAx>
      <c:valAx>
        <c:axId val="1779541599"/>
        <c:scaling>
          <c:orientation val="minMax"/>
          <c:max val="555.24"/>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95555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Pojar</dc:creator>
  <cp:keywords/>
  <dc:description/>
  <cp:lastModifiedBy>Ruxandra Zamfir</cp:lastModifiedBy>
  <cp:revision>2</cp:revision>
  <dcterms:created xsi:type="dcterms:W3CDTF">2024-12-16T10:09:00Z</dcterms:created>
  <dcterms:modified xsi:type="dcterms:W3CDTF">2024-12-16T10:09:00Z</dcterms:modified>
</cp:coreProperties>
</file>